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FB" w:rsidRPr="00711DE2" w:rsidRDefault="002710FB" w:rsidP="002710FB">
      <w:pPr>
        <w:widowControl/>
        <w:jc w:val="center"/>
        <w:rPr>
          <w:sz w:val="32"/>
          <w:szCs w:val="32"/>
        </w:rPr>
      </w:pPr>
      <w:bookmarkStart w:id="0" w:name="_GoBack"/>
      <w:bookmarkEnd w:id="0"/>
      <w:r w:rsidRPr="00711DE2">
        <w:rPr>
          <w:rFonts w:hint="eastAsia"/>
          <w:sz w:val="32"/>
          <w:szCs w:val="32"/>
        </w:rPr>
        <w:t>動物科學應用機構內部查核表填表說明</w:t>
      </w:r>
    </w:p>
    <w:p w:rsidR="002710FB" w:rsidRPr="00711DE2" w:rsidRDefault="002710FB" w:rsidP="002710FB">
      <w:pPr>
        <w:numPr>
          <w:ilvl w:val="0"/>
          <w:numId w:val="1"/>
        </w:numPr>
        <w:spacing w:beforeLines="50" w:before="180" w:line="440" w:lineRule="exact"/>
        <w:jc w:val="both"/>
        <w:rPr>
          <w:sz w:val="28"/>
          <w:szCs w:val="28"/>
        </w:rPr>
      </w:pPr>
      <w:r w:rsidRPr="00711DE2">
        <w:rPr>
          <w:rFonts w:hint="eastAsia"/>
          <w:sz w:val="28"/>
          <w:szCs w:val="28"/>
        </w:rPr>
        <w:t>本查核表應每半年實施</w:t>
      </w:r>
      <w:r w:rsidRPr="00711DE2">
        <w:rPr>
          <w:sz w:val="28"/>
          <w:szCs w:val="28"/>
        </w:rPr>
        <w:t>1</w:t>
      </w:r>
      <w:r w:rsidRPr="00711DE2">
        <w:rPr>
          <w:rFonts w:hint="eastAsia"/>
          <w:sz w:val="28"/>
          <w:szCs w:val="28"/>
        </w:rPr>
        <w:t>次，查核總表影本（如附件）應隨同年度監督報告報送行政院農業委員會（副知地方主管機關）。如無實驗動物房舍，仍須填寫軟體查核表部分；如半年內未飼養動物且未使用動物，可不實施該次查核。</w:t>
      </w:r>
    </w:p>
    <w:p w:rsidR="002710FB" w:rsidRPr="00711DE2" w:rsidRDefault="002710FB" w:rsidP="002710FB">
      <w:pPr>
        <w:numPr>
          <w:ilvl w:val="0"/>
          <w:numId w:val="1"/>
        </w:numPr>
        <w:spacing w:beforeLines="50" w:before="180" w:line="440" w:lineRule="exact"/>
        <w:jc w:val="both"/>
        <w:rPr>
          <w:sz w:val="28"/>
          <w:szCs w:val="28"/>
        </w:rPr>
      </w:pPr>
      <w:r w:rsidRPr="00711DE2">
        <w:rPr>
          <w:rFonts w:ascii="標楷體" w:hAnsi="標楷體" w:hint="eastAsia"/>
          <w:sz w:val="28"/>
          <w:szCs w:val="28"/>
        </w:rPr>
        <w:t>內部</w:t>
      </w:r>
      <w:r w:rsidRPr="000B78DE">
        <w:rPr>
          <w:rFonts w:hint="eastAsia"/>
          <w:sz w:val="28"/>
          <w:szCs w:val="28"/>
        </w:rPr>
        <w:t>查核</w:t>
      </w:r>
      <w:r w:rsidRPr="00711DE2">
        <w:rPr>
          <w:rFonts w:ascii="標楷體" w:hAnsi="標楷體" w:hint="eastAsia"/>
          <w:sz w:val="28"/>
          <w:szCs w:val="28"/>
        </w:rPr>
        <w:t>表與實地查核表相同，表中Ａ</w:t>
      </w:r>
      <w:r w:rsidRPr="00711DE2">
        <w:rPr>
          <w:rFonts w:ascii="標楷體" w:hAnsi="標楷體"/>
          <w:sz w:val="28"/>
          <w:szCs w:val="28"/>
        </w:rPr>
        <w:t>.</w:t>
      </w:r>
      <w:r w:rsidRPr="00711DE2">
        <w:rPr>
          <w:rFonts w:ascii="標楷體" w:hAnsi="標楷體" w:hint="eastAsia"/>
          <w:sz w:val="28"/>
          <w:szCs w:val="28"/>
        </w:rPr>
        <w:t>一、（一）「實驗動物照護及使用委員會或小組之組成及功能」，係供照護委員會或小組自我提醒之用；惟如照護委員會或小組係監督</w:t>
      </w:r>
      <w:r w:rsidRPr="00711DE2">
        <w:rPr>
          <w:rFonts w:ascii="標楷體" w:hAnsi="標楷體"/>
          <w:sz w:val="28"/>
          <w:szCs w:val="28"/>
        </w:rPr>
        <w:t>2</w:t>
      </w:r>
      <w:r w:rsidRPr="00711DE2">
        <w:rPr>
          <w:rFonts w:ascii="標楷體" w:hAnsi="標楷體" w:hint="eastAsia"/>
          <w:sz w:val="28"/>
          <w:szCs w:val="28"/>
        </w:rPr>
        <w:t>處以上動物房舍者，得將表中「實驗動物照護及使用委員會或小組之組成及功能」乙節刪除，表Ａ</w:t>
      </w:r>
      <w:r w:rsidRPr="00711DE2">
        <w:rPr>
          <w:rFonts w:ascii="標楷體" w:hAnsi="標楷體"/>
          <w:sz w:val="28"/>
          <w:szCs w:val="28"/>
        </w:rPr>
        <w:t>.</w:t>
      </w:r>
      <w:r w:rsidRPr="00711DE2">
        <w:rPr>
          <w:rFonts w:ascii="標楷體" w:hAnsi="標楷體" w:hint="eastAsia"/>
          <w:sz w:val="28"/>
          <w:szCs w:val="28"/>
        </w:rPr>
        <w:t>之配分隨之調整，請參閱附表</w:t>
      </w:r>
      <w:r w:rsidRPr="00711DE2">
        <w:rPr>
          <w:rFonts w:hint="eastAsia"/>
          <w:sz w:val="28"/>
          <w:szCs w:val="28"/>
        </w:rPr>
        <w:t>。</w:t>
      </w:r>
    </w:p>
    <w:p w:rsidR="002710FB" w:rsidRDefault="002710FB" w:rsidP="002710FB">
      <w:pPr>
        <w:numPr>
          <w:ilvl w:val="0"/>
          <w:numId w:val="1"/>
        </w:numPr>
        <w:spacing w:beforeLines="50" w:before="180" w:line="440" w:lineRule="exact"/>
        <w:jc w:val="both"/>
        <w:rPr>
          <w:rFonts w:hint="eastAsia"/>
          <w:b/>
          <w:color w:val="FF0000"/>
          <w:sz w:val="28"/>
          <w:szCs w:val="28"/>
        </w:rPr>
      </w:pPr>
      <w:r w:rsidRPr="00942A2F">
        <w:rPr>
          <w:rFonts w:hint="eastAsia"/>
          <w:b/>
          <w:color w:val="FF0000"/>
          <w:sz w:val="28"/>
          <w:szCs w:val="28"/>
        </w:rPr>
        <w:t>若有繁殖供作科學應用之實驗動物計畫，亦請列入查核範圍。</w:t>
      </w:r>
    </w:p>
    <w:p w:rsidR="002710FB" w:rsidRPr="00942A2F" w:rsidRDefault="002710FB" w:rsidP="002710FB">
      <w:pPr>
        <w:numPr>
          <w:ilvl w:val="0"/>
          <w:numId w:val="1"/>
        </w:numPr>
        <w:spacing w:beforeLines="50" w:before="180" w:line="440" w:lineRule="exact"/>
        <w:jc w:val="both"/>
        <w:rPr>
          <w:b/>
          <w:color w:val="FF0000"/>
          <w:sz w:val="28"/>
          <w:szCs w:val="28"/>
        </w:rPr>
      </w:pPr>
      <w:r w:rsidRPr="00942A2F">
        <w:rPr>
          <w:rFonts w:hint="eastAsia"/>
          <w:b/>
          <w:color w:val="FF0000"/>
          <w:sz w:val="28"/>
          <w:szCs w:val="28"/>
        </w:rPr>
        <w:t>查核陸生動物之硬體設施時，請依</w:t>
      </w:r>
      <w:r w:rsidRPr="00942A2F">
        <w:rPr>
          <w:rFonts w:hint="eastAsia"/>
          <w:b/>
          <w:color w:val="FF0000"/>
          <w:sz w:val="28"/>
          <w:szCs w:val="28"/>
        </w:rPr>
        <w:t>B1</w:t>
      </w:r>
      <w:r w:rsidRPr="00942A2F">
        <w:rPr>
          <w:rFonts w:hint="eastAsia"/>
          <w:b/>
          <w:color w:val="FF0000"/>
          <w:sz w:val="28"/>
          <w:szCs w:val="28"/>
        </w:rPr>
        <w:t>表格之項目進行查核；查核水生或兩棲類動物之硬體設施時，請依</w:t>
      </w:r>
      <w:r w:rsidRPr="00942A2F">
        <w:rPr>
          <w:rFonts w:hint="eastAsia"/>
          <w:b/>
          <w:color w:val="FF0000"/>
          <w:sz w:val="28"/>
          <w:szCs w:val="28"/>
        </w:rPr>
        <w:t>B2</w:t>
      </w:r>
      <w:r w:rsidRPr="00942A2F">
        <w:rPr>
          <w:rFonts w:hint="eastAsia"/>
          <w:b/>
          <w:color w:val="FF0000"/>
          <w:sz w:val="28"/>
          <w:szCs w:val="28"/>
        </w:rPr>
        <w:t>表格之項目進行查核。</w:t>
      </w:r>
    </w:p>
    <w:p w:rsidR="002710FB" w:rsidRPr="00942A2F" w:rsidRDefault="002710FB" w:rsidP="002710FB">
      <w:pPr>
        <w:numPr>
          <w:ilvl w:val="0"/>
          <w:numId w:val="1"/>
        </w:numPr>
        <w:spacing w:beforeLines="50" w:before="180" w:line="440" w:lineRule="exact"/>
        <w:jc w:val="both"/>
        <w:rPr>
          <w:sz w:val="28"/>
          <w:szCs w:val="28"/>
        </w:rPr>
      </w:pPr>
      <w:r w:rsidRPr="00942A2F">
        <w:rPr>
          <w:rFonts w:hint="eastAsia"/>
          <w:sz w:val="28"/>
          <w:szCs w:val="28"/>
        </w:rPr>
        <w:t>本表如有不適用查核要點情形，可於備註欄中說明。</w:t>
      </w:r>
    </w:p>
    <w:p w:rsidR="002710FB" w:rsidRPr="00711DE2" w:rsidRDefault="002710FB" w:rsidP="002710FB">
      <w:pPr>
        <w:numPr>
          <w:ilvl w:val="0"/>
          <w:numId w:val="1"/>
        </w:numPr>
        <w:spacing w:beforeLines="50" w:before="180" w:line="440" w:lineRule="exact"/>
        <w:jc w:val="both"/>
        <w:rPr>
          <w:sz w:val="28"/>
          <w:szCs w:val="28"/>
        </w:rPr>
      </w:pPr>
      <w:r w:rsidRPr="00711DE2">
        <w:rPr>
          <w:rFonts w:hint="eastAsia"/>
          <w:sz w:val="28"/>
          <w:szCs w:val="28"/>
        </w:rPr>
        <w:t>評分說明如次：</w:t>
      </w:r>
    </w:p>
    <w:p w:rsidR="002710FB" w:rsidRPr="00711DE2" w:rsidRDefault="002710FB" w:rsidP="002710FB">
      <w:pPr>
        <w:numPr>
          <w:ilvl w:val="0"/>
          <w:numId w:val="2"/>
        </w:numPr>
        <w:spacing w:line="440" w:lineRule="exact"/>
        <w:jc w:val="both"/>
        <w:rPr>
          <w:rFonts w:ascii="標楷體" w:hAnsi="標楷體"/>
          <w:sz w:val="28"/>
          <w:szCs w:val="28"/>
        </w:rPr>
      </w:pPr>
      <w:r w:rsidRPr="00711DE2">
        <w:rPr>
          <w:rFonts w:ascii="標楷體" w:hAnsi="標楷體" w:hint="eastAsia"/>
          <w:sz w:val="28"/>
          <w:szCs w:val="28"/>
        </w:rPr>
        <w:t>軟體查核占</w:t>
      </w:r>
      <w:r w:rsidRPr="00711DE2">
        <w:rPr>
          <w:rFonts w:ascii="標楷體" w:hAnsi="標楷體"/>
          <w:sz w:val="28"/>
          <w:szCs w:val="28"/>
        </w:rPr>
        <w:t>80</w:t>
      </w:r>
      <w:r w:rsidRPr="00711DE2">
        <w:rPr>
          <w:rFonts w:ascii="標楷體" w:hAnsi="標楷體" w:hint="eastAsia"/>
          <w:sz w:val="28"/>
          <w:szCs w:val="28"/>
        </w:rPr>
        <w:t>分，硬體查核占</w:t>
      </w:r>
      <w:r w:rsidRPr="00711DE2">
        <w:rPr>
          <w:rFonts w:ascii="標楷體" w:hAnsi="標楷體"/>
          <w:sz w:val="28"/>
          <w:szCs w:val="28"/>
        </w:rPr>
        <w:t>20</w:t>
      </w:r>
      <w:r w:rsidRPr="00711DE2">
        <w:rPr>
          <w:rFonts w:ascii="標楷體" w:hAnsi="標楷體" w:hint="eastAsia"/>
          <w:sz w:val="28"/>
          <w:szCs w:val="28"/>
        </w:rPr>
        <w:t>分，合計</w:t>
      </w:r>
      <w:r w:rsidRPr="00711DE2">
        <w:rPr>
          <w:rFonts w:ascii="標楷體" w:hAnsi="標楷體"/>
          <w:sz w:val="28"/>
          <w:szCs w:val="28"/>
        </w:rPr>
        <w:t>100</w:t>
      </w:r>
      <w:r w:rsidRPr="00711DE2">
        <w:rPr>
          <w:rFonts w:ascii="標楷體" w:hAnsi="標楷體" w:hint="eastAsia"/>
          <w:sz w:val="28"/>
          <w:szCs w:val="28"/>
        </w:rPr>
        <w:t>分。軟體查核分為</w:t>
      </w:r>
      <w:r w:rsidRPr="00711DE2">
        <w:rPr>
          <w:rFonts w:ascii="標楷體" w:hAnsi="標楷體"/>
          <w:sz w:val="28"/>
          <w:szCs w:val="28"/>
        </w:rPr>
        <w:t>3</w:t>
      </w:r>
      <w:r w:rsidRPr="00711DE2">
        <w:rPr>
          <w:rFonts w:ascii="標楷體" w:hAnsi="標楷體" w:hint="eastAsia"/>
          <w:sz w:val="28"/>
          <w:szCs w:val="28"/>
        </w:rPr>
        <w:t>大項，包括機構的政策與職責（</w:t>
      </w:r>
      <w:r w:rsidRPr="00711DE2">
        <w:rPr>
          <w:rFonts w:ascii="標楷體" w:hAnsi="標楷體"/>
          <w:sz w:val="28"/>
          <w:szCs w:val="28"/>
        </w:rPr>
        <w:t>36</w:t>
      </w:r>
      <w:r w:rsidRPr="00711DE2">
        <w:rPr>
          <w:rFonts w:ascii="標楷體" w:hAnsi="標楷體" w:hint="eastAsia"/>
          <w:sz w:val="28"/>
          <w:szCs w:val="28"/>
        </w:rPr>
        <w:t>分）、獸醫學管理（</w:t>
      </w:r>
      <w:r w:rsidRPr="00711DE2">
        <w:rPr>
          <w:rFonts w:ascii="標楷體" w:hAnsi="標楷體"/>
          <w:sz w:val="28"/>
          <w:szCs w:val="28"/>
        </w:rPr>
        <w:t>20</w:t>
      </w:r>
      <w:r w:rsidRPr="00711DE2">
        <w:rPr>
          <w:rFonts w:ascii="標楷體" w:hAnsi="標楷體" w:hint="eastAsia"/>
          <w:sz w:val="28"/>
          <w:szCs w:val="28"/>
        </w:rPr>
        <w:t>分）及動物飼養管理（</w:t>
      </w:r>
      <w:r w:rsidRPr="00711DE2">
        <w:rPr>
          <w:rFonts w:ascii="標楷體" w:hAnsi="標楷體"/>
          <w:sz w:val="28"/>
          <w:szCs w:val="28"/>
        </w:rPr>
        <w:t>24</w:t>
      </w:r>
      <w:r w:rsidRPr="00711DE2">
        <w:rPr>
          <w:rFonts w:ascii="標楷體" w:hAnsi="標楷體" w:hint="eastAsia"/>
          <w:sz w:val="28"/>
          <w:szCs w:val="28"/>
        </w:rPr>
        <w:t>分）；硬體查核分為</w:t>
      </w:r>
      <w:r w:rsidRPr="00711DE2">
        <w:rPr>
          <w:rFonts w:ascii="標楷體" w:hAnsi="標楷體"/>
          <w:sz w:val="28"/>
          <w:szCs w:val="28"/>
        </w:rPr>
        <w:t>3</w:t>
      </w:r>
      <w:r w:rsidRPr="00711DE2">
        <w:rPr>
          <w:rFonts w:ascii="標楷體" w:hAnsi="標楷體" w:hint="eastAsia"/>
          <w:sz w:val="28"/>
          <w:szCs w:val="28"/>
        </w:rPr>
        <w:t>大項，包括動物飼養區域及供應區域（</w:t>
      </w:r>
      <w:r w:rsidRPr="00711DE2">
        <w:rPr>
          <w:rFonts w:ascii="標楷體" w:hAnsi="標楷體"/>
          <w:sz w:val="28"/>
          <w:szCs w:val="28"/>
        </w:rPr>
        <w:t>7</w:t>
      </w:r>
      <w:r w:rsidRPr="00711DE2">
        <w:rPr>
          <w:rFonts w:ascii="標楷體" w:hAnsi="標楷體" w:hint="eastAsia"/>
          <w:sz w:val="28"/>
          <w:szCs w:val="28"/>
        </w:rPr>
        <w:t>分）、儀器與設備（</w:t>
      </w:r>
      <w:r w:rsidRPr="00711DE2">
        <w:rPr>
          <w:rFonts w:ascii="標楷體" w:hAnsi="標楷體"/>
          <w:sz w:val="28"/>
          <w:szCs w:val="28"/>
        </w:rPr>
        <w:t>7</w:t>
      </w:r>
      <w:r w:rsidRPr="00711DE2">
        <w:rPr>
          <w:rFonts w:ascii="標楷體" w:hAnsi="標楷體" w:hint="eastAsia"/>
          <w:sz w:val="28"/>
          <w:szCs w:val="28"/>
        </w:rPr>
        <w:t>分）及動物手術或實驗場所（</w:t>
      </w:r>
      <w:r w:rsidRPr="00711DE2">
        <w:rPr>
          <w:rFonts w:ascii="標楷體" w:hAnsi="標楷體"/>
          <w:sz w:val="28"/>
          <w:szCs w:val="28"/>
        </w:rPr>
        <w:t>6</w:t>
      </w:r>
      <w:r w:rsidRPr="00711DE2">
        <w:rPr>
          <w:rFonts w:ascii="標楷體" w:hAnsi="標楷體" w:hint="eastAsia"/>
          <w:sz w:val="28"/>
          <w:szCs w:val="28"/>
        </w:rPr>
        <w:t>分）。各大項下分為若干細目，依符合程度評為「好」、「尚可」或「不好」。</w:t>
      </w:r>
    </w:p>
    <w:p w:rsidR="002710FB" w:rsidRPr="00711DE2" w:rsidRDefault="002710FB" w:rsidP="002710FB">
      <w:pPr>
        <w:spacing w:line="440" w:lineRule="exact"/>
        <w:ind w:left="1320" w:hanging="840"/>
        <w:jc w:val="both"/>
        <w:rPr>
          <w:rFonts w:ascii="標楷體" w:hAnsi="標楷體"/>
          <w:sz w:val="28"/>
          <w:szCs w:val="28"/>
        </w:rPr>
      </w:pPr>
      <w:r w:rsidRPr="00711DE2">
        <w:rPr>
          <w:rFonts w:ascii="標楷體" w:hAnsi="標楷體" w:hint="eastAsia"/>
          <w:sz w:val="28"/>
          <w:szCs w:val="28"/>
        </w:rPr>
        <w:t>（二）各大項實際評分時，建議採取扣分方式較為簡便。</w:t>
      </w:r>
      <w:r w:rsidRPr="00711DE2">
        <w:rPr>
          <w:rFonts w:hint="eastAsia"/>
          <w:sz w:val="28"/>
          <w:szCs w:val="28"/>
        </w:rPr>
        <w:t>將</w:t>
      </w:r>
      <w:r w:rsidRPr="00711DE2">
        <w:rPr>
          <w:rFonts w:ascii="標楷體" w:hAnsi="標楷體" w:hint="eastAsia"/>
          <w:sz w:val="28"/>
          <w:szCs w:val="28"/>
        </w:rPr>
        <w:t>軟體查核分數及硬體查核分數加總，得出總分。</w:t>
      </w:r>
    </w:p>
    <w:p w:rsidR="002710FB" w:rsidRPr="00711DE2" w:rsidRDefault="002710FB" w:rsidP="002710FB">
      <w:pPr>
        <w:spacing w:line="440" w:lineRule="exact"/>
        <w:ind w:left="1320" w:hanging="840"/>
        <w:jc w:val="both"/>
        <w:rPr>
          <w:sz w:val="28"/>
          <w:szCs w:val="28"/>
        </w:rPr>
      </w:pPr>
      <w:r w:rsidRPr="00711DE2">
        <w:rPr>
          <w:rFonts w:hint="eastAsia"/>
          <w:sz w:val="28"/>
          <w:szCs w:val="28"/>
        </w:rPr>
        <w:t>（三）</w:t>
      </w:r>
      <w:r w:rsidRPr="00711DE2">
        <w:rPr>
          <w:rFonts w:ascii="標楷體" w:hAnsi="標楷體" w:hint="eastAsia"/>
          <w:sz w:val="28"/>
          <w:szCs w:val="28"/>
        </w:rPr>
        <w:t>各等級訂定方式：</w:t>
      </w:r>
      <w:r w:rsidRPr="00711DE2">
        <w:rPr>
          <w:rFonts w:ascii="標楷體" w:hAnsi="標楷體"/>
          <w:sz w:val="28"/>
          <w:szCs w:val="28"/>
        </w:rPr>
        <w:t>90</w:t>
      </w:r>
      <w:r w:rsidRPr="00711DE2">
        <w:rPr>
          <w:rFonts w:ascii="標楷體" w:hAnsi="標楷體" w:hint="eastAsia"/>
          <w:sz w:val="28"/>
          <w:szCs w:val="28"/>
        </w:rPr>
        <w:t>分以上（含</w:t>
      </w:r>
      <w:r w:rsidRPr="00711DE2">
        <w:rPr>
          <w:rFonts w:ascii="標楷體" w:hAnsi="標楷體"/>
          <w:sz w:val="28"/>
          <w:szCs w:val="28"/>
        </w:rPr>
        <w:t>90</w:t>
      </w:r>
      <w:r w:rsidRPr="00711DE2">
        <w:rPr>
          <w:rFonts w:ascii="標楷體" w:hAnsi="標楷體" w:hint="eastAsia"/>
          <w:sz w:val="28"/>
          <w:szCs w:val="28"/>
        </w:rPr>
        <w:t>分）為「優」，</w:t>
      </w:r>
      <w:r w:rsidRPr="00711DE2">
        <w:rPr>
          <w:rFonts w:ascii="標楷體" w:hAnsi="標楷體"/>
          <w:sz w:val="28"/>
          <w:szCs w:val="28"/>
        </w:rPr>
        <w:t>80~89</w:t>
      </w:r>
      <w:r w:rsidRPr="00711DE2">
        <w:rPr>
          <w:rFonts w:ascii="標楷體" w:hAnsi="標楷體" w:hint="eastAsia"/>
          <w:sz w:val="28"/>
          <w:szCs w:val="28"/>
        </w:rPr>
        <w:t>分為「良」，</w:t>
      </w:r>
      <w:r w:rsidRPr="00711DE2">
        <w:rPr>
          <w:rFonts w:ascii="標楷體" w:hAnsi="標楷體"/>
          <w:sz w:val="28"/>
          <w:szCs w:val="28"/>
        </w:rPr>
        <w:t>60~79</w:t>
      </w:r>
      <w:r w:rsidRPr="00711DE2">
        <w:rPr>
          <w:rFonts w:ascii="標楷體" w:hAnsi="標楷體" w:hint="eastAsia"/>
          <w:sz w:val="28"/>
          <w:szCs w:val="28"/>
        </w:rPr>
        <w:t>分為「尚可」，</w:t>
      </w:r>
      <w:r w:rsidRPr="00711DE2">
        <w:rPr>
          <w:rFonts w:ascii="標楷體" w:hAnsi="標楷體"/>
          <w:sz w:val="28"/>
          <w:szCs w:val="28"/>
        </w:rPr>
        <w:t>59</w:t>
      </w:r>
      <w:r w:rsidRPr="00711DE2">
        <w:rPr>
          <w:rFonts w:ascii="標楷體" w:hAnsi="標楷體" w:hint="eastAsia"/>
          <w:sz w:val="28"/>
          <w:szCs w:val="28"/>
        </w:rPr>
        <w:t>分以下（含</w:t>
      </w:r>
      <w:r w:rsidRPr="00711DE2">
        <w:rPr>
          <w:rFonts w:ascii="標楷體" w:hAnsi="標楷體"/>
          <w:sz w:val="28"/>
          <w:szCs w:val="28"/>
        </w:rPr>
        <w:t>59</w:t>
      </w:r>
      <w:r w:rsidRPr="00711DE2">
        <w:rPr>
          <w:rFonts w:ascii="標楷體" w:hAnsi="標楷體" w:hint="eastAsia"/>
          <w:sz w:val="28"/>
          <w:szCs w:val="28"/>
        </w:rPr>
        <w:t>分）為「較差」(表示經查核有需改善之重大缺失)。</w:t>
      </w:r>
    </w:p>
    <w:p w:rsidR="004413F3" w:rsidRPr="002710FB" w:rsidRDefault="004413F3" w:rsidP="002710FB"/>
    <w:sectPr w:rsidR="004413F3" w:rsidRPr="002710FB" w:rsidSect="000C6E85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5A7D">
      <w:r>
        <w:separator/>
      </w:r>
    </w:p>
  </w:endnote>
  <w:endnote w:type="continuationSeparator" w:id="0">
    <w:p w:rsidR="00000000" w:rsidRDefault="000A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85" w:rsidRDefault="000C6E85" w:rsidP="000C6E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C6E85" w:rsidRDefault="000C6E8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85" w:rsidRDefault="000C6E85" w:rsidP="000C6E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5A7D">
      <w:rPr>
        <w:rStyle w:val="PageNumber"/>
        <w:noProof/>
      </w:rPr>
      <w:t>1</w:t>
    </w:r>
    <w:r>
      <w:rPr>
        <w:rStyle w:val="PageNumber"/>
      </w:rPr>
      <w:fldChar w:fldCharType="end"/>
    </w:r>
  </w:p>
  <w:p w:rsidR="000C6E85" w:rsidRDefault="000C6E8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5A7D">
      <w:r>
        <w:separator/>
      </w:r>
    </w:p>
  </w:footnote>
  <w:footnote w:type="continuationSeparator" w:id="0">
    <w:p w:rsidR="00000000" w:rsidRDefault="000A5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627A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2338F0"/>
    <w:multiLevelType w:val="hybridMultilevel"/>
    <w:tmpl w:val="673E3658"/>
    <w:lvl w:ilvl="0" w:tplc="7FC06B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23E0365"/>
    <w:multiLevelType w:val="hybridMultilevel"/>
    <w:tmpl w:val="F6861BDE"/>
    <w:lvl w:ilvl="0" w:tplc="CD3E513C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08"/>
    <w:rsid w:val="00030271"/>
    <w:rsid w:val="000A5A7D"/>
    <w:rsid w:val="000C6E85"/>
    <w:rsid w:val="002710FB"/>
    <w:rsid w:val="002D68D3"/>
    <w:rsid w:val="002F09D3"/>
    <w:rsid w:val="003A7525"/>
    <w:rsid w:val="004413F3"/>
    <w:rsid w:val="00547208"/>
    <w:rsid w:val="008A01FA"/>
    <w:rsid w:val="00E3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9D3"/>
    <w:pPr>
      <w:widowControl w:val="0"/>
    </w:pPr>
    <w:rPr>
      <w:rFonts w:ascii="Times New Roman" w:eastAsia="標楷體" w:hAnsi="Times New Roman"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2710FB"/>
  </w:style>
  <w:style w:type="paragraph" w:styleId="Footer">
    <w:name w:val="footer"/>
    <w:basedOn w:val="Normal"/>
    <w:link w:val="FooterChar"/>
    <w:uiPriority w:val="99"/>
    <w:rsid w:val="002710FB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新細明體"/>
      <w:sz w:val="20"/>
    </w:rPr>
  </w:style>
  <w:style w:type="character" w:customStyle="1" w:styleId="FooterChar">
    <w:name w:val="Footer Char"/>
    <w:link w:val="Footer"/>
    <w:uiPriority w:val="99"/>
    <w:rsid w:val="002710FB"/>
    <w:rPr>
      <w:rFonts w:ascii="Times New Roman" w:hAnsi="Times New Roman"/>
      <w:lang w:eastAsia="zh-T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9D3"/>
    <w:pPr>
      <w:widowControl w:val="0"/>
    </w:pPr>
    <w:rPr>
      <w:rFonts w:ascii="Times New Roman" w:eastAsia="標楷體" w:hAnsi="Times New Roman"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2710FB"/>
  </w:style>
  <w:style w:type="paragraph" w:styleId="Footer">
    <w:name w:val="footer"/>
    <w:basedOn w:val="Normal"/>
    <w:link w:val="FooterChar"/>
    <w:uiPriority w:val="99"/>
    <w:rsid w:val="002710FB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新細明體"/>
      <w:sz w:val="20"/>
    </w:rPr>
  </w:style>
  <w:style w:type="character" w:customStyle="1" w:styleId="FooterChar">
    <w:name w:val="Footer Char"/>
    <w:link w:val="Footer"/>
    <w:uiPriority w:val="99"/>
    <w:rsid w:val="002710FB"/>
    <w:rPr>
      <w:rFonts w:ascii="Times New Roman" w:hAnsi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8113;&#23071;\&#27861;&#26781;\&#23526;&#39511;&#21205;&#29289;&#20844;&#21578;_&#20426;&#20625;\attachments\&#38498;%20IACUC&#20839;&#37096;&#26597;&#26680;&#34920;&#33287;&#35498;&#26126;\&#38498;%20IACUC&#20839;&#37096;&#26597;&#26680;&#34920;&#33287;&#35498;&#26126;\3-2&#21205;&#29289;&#31185;&#23416;&#25033;&#29992;&#27231;&#27083;&#20839;&#37096;&#26597;&#26680;&#34920;&#22635;&#34920;&#35498;&#2612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50D501C2F5013499E8A89CE3AE6AE64" ma:contentTypeVersion="0" ma:contentTypeDescription="建立新的文件。" ma:contentTypeScope="" ma:versionID="b6325273b2b44cab71c93ada937520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3088048c747e34bffec1c36a46cc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EE110F-D42C-4687-93BC-86F93CBA534C}"/>
</file>

<file path=customXml/itemProps2.xml><?xml version="1.0" encoding="utf-8"?>
<ds:datastoreItem xmlns:ds="http://schemas.openxmlformats.org/officeDocument/2006/customXml" ds:itemID="{02F4382E-BB22-4BA9-95B1-0445A94DF4D5}"/>
</file>

<file path=customXml/itemProps3.xml><?xml version="1.0" encoding="utf-8"?>
<ds:datastoreItem xmlns:ds="http://schemas.openxmlformats.org/officeDocument/2006/customXml" ds:itemID="{0F364177-DCAB-4E3C-B6E2-52A727795624}"/>
</file>

<file path=docProps/app.xml><?xml version="1.0" encoding="utf-8"?>
<Properties xmlns="http://schemas.openxmlformats.org/officeDocument/2006/extended-properties" xmlns:vt="http://schemas.openxmlformats.org/officeDocument/2006/docPropsVTypes">
  <Template>\淑娟\法條\實驗動物公告_俊傑\attachments\院 IACUC內部查核表與說明\院 IACUC內部查核表與說明\3-2動物科學應用機構內部查核表填表說明.dot</Template>
  <TotalTime>0</TotalTime>
  <Pages>1</Pages>
  <Words>99</Words>
  <Characters>568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</dc:creator>
  <cp:keywords/>
  <cp:lastModifiedBy>Hoyt</cp:lastModifiedBy>
  <cp:revision>2</cp:revision>
  <dcterms:created xsi:type="dcterms:W3CDTF">2020-05-24T05:53:00Z</dcterms:created>
  <dcterms:modified xsi:type="dcterms:W3CDTF">2020-05-24T05:53:00Z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0x010100250D501C2F5013499E8A89CE3AE6AE64</vt:lpwstr>
  </property>
</Properties>
</file>